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r>
        <w:rPr>
          <w:rFonts w:ascii="Arial" w:hAnsi="Arial" w:cs="Arial"/>
          <w:b/>
          <w:sz w:val="24"/>
        </w:rPr>
        <w:t>3GPP TSG-RAN WG4 Meeting #100-e</w:t>
      </w:r>
      <w:r>
        <w:rPr>
          <w:rFonts w:ascii="Arial" w:hAnsi="Arial" w:eastAsia="MS Mincho"/>
          <w:b/>
          <w:sz w:val="24"/>
        </w:rPr>
        <w:tab/>
      </w:r>
      <w:r>
        <w:rPr>
          <w:rFonts w:hint="eastAsia" w:ascii="Arial" w:hAnsi="Arial"/>
          <w:b/>
          <w:sz w:val="24"/>
          <w:lang w:eastAsia="zh-CN"/>
        </w:rPr>
        <w:t>R4-2113197</w:t>
      </w:r>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August 16-27,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Discussion on UE demodulation requirements</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9.9.5.2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szCs w:val="20"/>
          <w:lang w:val="en-US" w:eastAsia="zh-CN"/>
        </w:rPr>
      </w:pPr>
      <w:r>
        <w:rPr>
          <w:rFonts w:hint="eastAsia" w:eastAsia="宋体"/>
          <w:szCs w:val="20"/>
          <w:lang w:val="en-US" w:eastAsia="zh-CN"/>
        </w:rPr>
        <w:t xml:space="preserve">In the RAN4 99e meeting, several issues of reference signal for DL transmission and demodulation were discussed and some issues are still open in the agreed WF </w:t>
      </w:r>
      <w:r>
        <w:rPr>
          <w:rFonts w:hint="eastAsia" w:eastAsia="宋体"/>
          <w:szCs w:val="20"/>
          <w:vertAlign w:val="superscript"/>
          <w:lang w:val="en-US" w:eastAsia="zh-CN"/>
        </w:rPr>
        <w:t>[1]</w:t>
      </w:r>
      <w:r>
        <w:rPr>
          <w:rFonts w:hint="eastAsia" w:eastAsia="宋体"/>
          <w:szCs w:val="20"/>
          <w:lang w:val="en-US" w:eastAsia="zh-CN"/>
        </w:rPr>
        <w:t>.</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some discussion on reference signal for DL transmission and demodulation requirements for FR2 HST are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the last meeting, the following DPS transmission schemes were discussed for PDSCH:</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uppressAutoHyphens/>
              <w:autoSpaceDE w:val="0"/>
              <w:autoSpaceDN w:val="0"/>
              <w:adjustRightInd w:val="0"/>
              <w:spacing w:after="0"/>
              <w:rPr>
                <w:rFonts w:eastAsia="宋体"/>
                <w:szCs w:val="20"/>
                <w:lang w:eastAsia="zh-CN"/>
              </w:rPr>
            </w:pPr>
            <w:r>
              <w:rPr>
                <w:rFonts w:hint="eastAsia" w:eastAsia="宋体"/>
                <w:szCs w:val="20"/>
                <w:lang w:eastAsia="zh-CN"/>
              </w:rPr>
              <w:t>DPS transmission scheme</w:t>
            </w:r>
          </w:p>
          <w:p>
            <w:pPr>
              <w:numPr>
                <w:ilvl w:val="0"/>
                <w:numId w:val="5"/>
              </w:numPr>
              <w:suppressAutoHyphens/>
              <w:autoSpaceDE w:val="0"/>
              <w:autoSpaceDN w:val="0"/>
              <w:adjustRightInd w:val="0"/>
              <w:spacing w:after="0"/>
              <w:rPr>
                <w:rFonts w:eastAsia="宋体"/>
                <w:szCs w:val="20"/>
                <w:lang w:eastAsia="zh-CN"/>
              </w:rPr>
            </w:pPr>
            <w:r>
              <w:rPr>
                <w:rFonts w:hint="eastAsia" w:eastAsia="宋体"/>
                <w:szCs w:val="20"/>
                <w:lang w:eastAsia="zh-CN"/>
              </w:rPr>
              <w:t>Option 1:</w:t>
            </w:r>
          </w:p>
          <w:p>
            <w:pPr>
              <w:numPr>
                <w:ilvl w:val="0"/>
                <w:numId w:val="6"/>
              </w:numPr>
              <w:suppressAutoHyphens/>
              <w:autoSpaceDE w:val="0"/>
              <w:autoSpaceDN w:val="0"/>
              <w:adjustRightInd w:val="0"/>
              <w:spacing w:after="0"/>
              <w:rPr>
                <w:rFonts w:eastAsia="宋体"/>
                <w:szCs w:val="20"/>
                <w:lang w:eastAsia="zh-CN"/>
              </w:rPr>
            </w:pPr>
            <w:r>
              <w:rPr>
                <w:rFonts w:hint="eastAsia" w:eastAsia="宋体"/>
                <w:szCs w:val="20"/>
                <w:lang w:eastAsia="zh-CN"/>
              </w:rPr>
              <w:t>Define PDSCH requirement with DPS scheme1a in Uni-directional scenario for scenario A. FFS scheme 1b</w:t>
            </w:r>
          </w:p>
          <w:p>
            <w:pPr>
              <w:numPr>
                <w:ilvl w:val="0"/>
                <w:numId w:val="6"/>
              </w:numPr>
              <w:suppressAutoHyphens/>
              <w:autoSpaceDE w:val="0"/>
              <w:autoSpaceDN w:val="0"/>
              <w:adjustRightInd w:val="0"/>
              <w:spacing w:after="0"/>
              <w:rPr>
                <w:rFonts w:eastAsia="宋体"/>
                <w:szCs w:val="20"/>
                <w:lang w:eastAsia="zh-CN"/>
              </w:rPr>
            </w:pPr>
            <w:r>
              <w:rPr>
                <w:rFonts w:hint="eastAsia" w:eastAsia="宋体"/>
                <w:szCs w:val="20"/>
                <w:lang w:eastAsia="zh-CN"/>
              </w:rPr>
              <w:t>Define PDSCH requirement with DPS scheme 1a and 1b in Uni-directional scenario for scenario B, FFS the number of TCI state configured</w:t>
            </w:r>
          </w:p>
          <w:p>
            <w:pPr>
              <w:numPr>
                <w:ilvl w:val="0"/>
                <w:numId w:val="6"/>
              </w:numPr>
              <w:suppressAutoHyphens/>
              <w:autoSpaceDE w:val="0"/>
              <w:autoSpaceDN w:val="0"/>
              <w:adjustRightInd w:val="0"/>
              <w:spacing w:after="0"/>
              <w:rPr>
                <w:rFonts w:eastAsia="宋体"/>
                <w:szCs w:val="20"/>
                <w:lang w:eastAsia="zh-CN"/>
              </w:rPr>
            </w:pPr>
            <w:r>
              <w:rPr>
                <w:rFonts w:hint="eastAsia" w:eastAsia="宋体"/>
                <w:szCs w:val="20"/>
                <w:lang w:eastAsia="zh-CN"/>
              </w:rPr>
              <w:t>Define PDSCH requirement with DPS scheme 1a in Bi-directional scenario for scenario A and scenario B. FFS scheme 1b</w:t>
            </w:r>
          </w:p>
          <w:p>
            <w:pPr>
              <w:numPr>
                <w:ilvl w:val="0"/>
                <w:numId w:val="5"/>
              </w:numPr>
              <w:suppressAutoHyphens/>
              <w:autoSpaceDE w:val="0"/>
              <w:autoSpaceDN w:val="0"/>
              <w:adjustRightInd w:val="0"/>
              <w:spacing w:after="0"/>
              <w:rPr>
                <w:rFonts w:eastAsia="宋体"/>
                <w:szCs w:val="20"/>
                <w:lang w:eastAsia="zh-CN"/>
              </w:rPr>
            </w:pPr>
            <w:r>
              <w:rPr>
                <w:rFonts w:hint="eastAsia" w:eastAsia="宋体"/>
                <w:szCs w:val="20"/>
                <w:lang w:eastAsia="zh-CN"/>
              </w:rPr>
              <w:t>Option 2: Define both DPS transmission scheme 1a and 1b for both Bi-directional and Uni-directional deployment</w:t>
            </w:r>
          </w:p>
          <w:p>
            <w:pPr>
              <w:numPr>
                <w:ilvl w:val="0"/>
                <w:numId w:val="7"/>
              </w:numPr>
              <w:autoSpaceDE w:val="0"/>
              <w:autoSpaceDN w:val="0"/>
              <w:adjustRightInd w:val="0"/>
              <w:spacing w:after="0"/>
              <w:rPr>
                <w:rFonts w:eastAsia="宋体"/>
                <w:szCs w:val="20"/>
                <w:lang w:eastAsia="zh-CN"/>
              </w:rPr>
            </w:pPr>
            <w:r>
              <w:rPr>
                <w:rFonts w:hint="eastAsia" w:eastAsia="宋体"/>
                <w:szCs w:val="20"/>
                <w:lang w:eastAsia="zh-CN"/>
              </w:rPr>
              <w:t>Option 2a :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w:t>
            </w:r>
          </w:p>
        </w:tc>
      </w:tr>
    </w:tbl>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As agreed in RAN 4 #99-e meeting, the number of beam for scenario-A is one beam per panel per RRH. So the CPE under scenario-A does not need to switch Rx beam thus DPS 1a is preferred. For scenario-B the number of beam per panel per CPE is not determined, and if only one beam per RRH per panel and the TCI is the same for beams from different RRH, scheme 1a can be considered. On the other hand, if 2 or more beams per panel per RRH is supported beam switching corresponding to different TCIs will be needed.</w:t>
      </w:r>
    </w:p>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As Rel-16 already defined the requirement of 1a and 1b, we can reuse the approach of Rel-16: defining requirements for 1a and 1b separately and reuse the applicability rule of Rel-16.</w:t>
      </w:r>
    </w:p>
    <w:p>
      <w:pPr>
        <w:pStyle w:val="29"/>
        <w:suppressAutoHyphens/>
        <w:adjustRightInd w:val="0"/>
        <w:snapToGrid w:val="0"/>
        <w:spacing w:after="0" w:line="240" w:lineRule="auto"/>
        <w:ind w:firstLine="0" w:firstLineChars="0"/>
        <w:rPr>
          <w:rFonts w:ascii="Times New Roman" w:hAnsi="Times New Roman"/>
          <w:b/>
          <w:kern w:val="0"/>
          <w:sz w:val="20"/>
          <w:szCs w:val="20"/>
        </w:rPr>
      </w:pPr>
      <w:r>
        <w:rPr>
          <w:rFonts w:hint="eastAsia" w:ascii="Times New Roman" w:hAnsi="Times New Roman"/>
          <w:b/>
          <w:kern w:val="0"/>
          <w:sz w:val="20"/>
          <w:szCs w:val="20"/>
        </w:rPr>
        <w:t>Proposal 1: To add a new option e.g., option 3 for DPS transmission scheme:</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1a for scenario-A uni-directional deployment.</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Wait for the result of discussion on RRM and Scenario session to see if bi-directional deployment for scenario-A is supported.</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1a for scenario-B uni-directional deployment if the number of beam is one beam per panel per RRH and if the beams from different RRH corresponding to the same TCI.</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1b for scenario-B uni-directional deployment if the number of beam is 2 or more beams per panel per RRH.</w:t>
      </w:r>
    </w:p>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For RS configuration, all the candidate options can be supported for PDSCH requirement which is analyzed in [</w:t>
      </w:r>
      <w:r>
        <w:rPr>
          <w:rFonts w:hint="eastAsia" w:ascii="Times New Roman" w:hAnsi="Times New Roman"/>
          <w:bCs/>
          <w:kern w:val="0"/>
          <w:sz w:val="20"/>
          <w:szCs w:val="20"/>
          <w:lang w:val="en-US" w:eastAsia="zh-CN"/>
        </w:rPr>
        <w:t>2</w:t>
      </w:r>
      <w:bookmarkStart w:id="0" w:name="_GoBack"/>
      <w:bookmarkEnd w:id="0"/>
      <w:r>
        <w:rPr>
          <w:rFonts w:hint="eastAsia" w:ascii="Times New Roman" w:hAnsi="Times New Roman"/>
          <w:bCs/>
          <w:kern w:val="0"/>
          <w:sz w:val="20"/>
          <w:szCs w:val="20"/>
        </w:rPr>
        <w:t>].</w:t>
      </w:r>
    </w:p>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Cs/>
          <w:kern w:val="0"/>
          <w:sz w:val="20"/>
          <w:szCs w:val="20"/>
        </w:rPr>
        <w:t>For CBW, the following options were discussed in RAN 4 #99-e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autoSpaceDE w:val="0"/>
              <w:autoSpaceDN w:val="0"/>
              <w:adjustRightInd w:val="0"/>
              <w:spacing w:after="0"/>
              <w:rPr>
                <w:rFonts w:eastAsia="宋体"/>
                <w:szCs w:val="20"/>
                <w:lang w:eastAsia="zh-CN"/>
              </w:rPr>
            </w:pPr>
            <w:r>
              <w:rPr>
                <w:rFonts w:eastAsia="宋体"/>
                <w:szCs w:val="20"/>
                <w:lang w:eastAsia="zh-CN"/>
              </w:rPr>
              <w:t>CBW</w:t>
            </w:r>
          </w:p>
          <w:p>
            <w:pPr>
              <w:numPr>
                <w:ilvl w:val="0"/>
                <w:numId w:val="5"/>
              </w:numPr>
              <w:autoSpaceDE w:val="0"/>
              <w:autoSpaceDN w:val="0"/>
              <w:adjustRightInd w:val="0"/>
              <w:spacing w:after="0"/>
              <w:rPr>
                <w:rFonts w:eastAsia="宋体"/>
                <w:szCs w:val="20"/>
                <w:lang w:eastAsia="zh-CN"/>
              </w:rPr>
            </w:pPr>
            <w:r>
              <w:rPr>
                <w:rFonts w:eastAsia="宋体"/>
                <w:szCs w:val="20"/>
                <w:lang w:eastAsia="zh-CN"/>
              </w:rPr>
              <w:t>Option 1: 100MHz CBW</w:t>
            </w:r>
          </w:p>
          <w:p>
            <w:pPr>
              <w:numPr>
                <w:ilvl w:val="0"/>
                <w:numId w:val="5"/>
              </w:numPr>
              <w:autoSpaceDE w:val="0"/>
              <w:autoSpaceDN w:val="0"/>
              <w:adjustRightInd w:val="0"/>
              <w:spacing w:after="0"/>
              <w:rPr>
                <w:rFonts w:eastAsia="宋体"/>
                <w:szCs w:val="20"/>
                <w:lang w:eastAsia="zh-CN"/>
              </w:rPr>
            </w:pPr>
            <w:r>
              <w:rPr>
                <w:rFonts w:eastAsia="宋体"/>
                <w:szCs w:val="20"/>
                <w:lang w:eastAsia="zh-CN"/>
              </w:rPr>
              <w:t>Option 2: 200MHz CBW</w:t>
            </w:r>
          </w:p>
          <w:p>
            <w:pPr>
              <w:numPr>
                <w:ilvl w:val="0"/>
                <w:numId w:val="5"/>
              </w:numPr>
              <w:autoSpaceDE w:val="0"/>
              <w:autoSpaceDN w:val="0"/>
              <w:adjustRightInd w:val="0"/>
              <w:spacing w:after="0"/>
              <w:rPr>
                <w:bCs/>
                <w:szCs w:val="20"/>
                <w:lang w:eastAsia="zh-CN"/>
              </w:rPr>
            </w:pPr>
            <w:r>
              <w:rPr>
                <w:rFonts w:eastAsia="宋体"/>
                <w:szCs w:val="20"/>
                <w:lang w:eastAsia="zh-CN"/>
              </w:rPr>
              <w:t>Option 3: Align the CBW configuration for PDSCH and PUSCH</w:t>
            </w:r>
          </w:p>
        </w:tc>
      </w:tr>
    </w:tbl>
    <w:p>
      <w:pPr>
        <w:pStyle w:val="36"/>
        <w:suppressAutoHyphens/>
        <w:rPr>
          <w:rFonts w:ascii="Times New Roman" w:hAnsi="Times New Roman"/>
          <w:bCs/>
          <w:sz w:val="20"/>
          <w:lang w:val="en-US" w:eastAsia="zh-CN"/>
        </w:rPr>
      </w:pPr>
      <w:r>
        <w:rPr>
          <w:rFonts w:hint="eastAsia" w:ascii="Times New Roman" w:hAnsi="Times New Roman"/>
          <w:bCs/>
          <w:sz w:val="20"/>
          <w:lang w:val="en-US" w:eastAsia="zh-CN"/>
        </w:rPr>
        <w:t xml:space="preserve">Regarding bandwidth in FR2, a band parameter </w:t>
      </w:r>
      <w:r>
        <w:rPr>
          <w:rFonts w:ascii="Times New Roman" w:hAnsi="Times New Roman"/>
          <w:bCs/>
          <w:i/>
          <w:sz w:val="20"/>
        </w:rPr>
        <w:t>channelBWs-DL</w:t>
      </w:r>
      <w:r>
        <w:rPr>
          <w:rFonts w:ascii="Times New Roman" w:hAnsi="Times New Roman"/>
          <w:bCs/>
          <w:sz w:val="20"/>
          <w:lang w:val="en-US" w:eastAsia="zh-CN"/>
        </w:rPr>
        <w:t xml:space="preserve">is defined in 38.331 and a 3 bit string in the parameter is used to indicate the bandwidth of FR2. For how to indicate FR2 bandwidth, the definition in 38.306 is that “ the bits in </w:t>
      </w:r>
      <w:r>
        <w:rPr>
          <w:rFonts w:ascii="Times New Roman" w:hAnsi="Times New Roman"/>
          <w:bCs/>
          <w:i/>
          <w:sz w:val="20"/>
          <w:lang w:val="en-US" w:eastAsia="zh-CN"/>
        </w:rPr>
        <w:t>channelBWs-DL</w:t>
      </w:r>
      <w:r>
        <w:rPr>
          <w:rFonts w:hint="eastAsia" w:ascii="Times New Roman" w:hAnsi="Times New Roman"/>
          <w:bCs/>
          <w:sz w:val="20"/>
          <w:lang w:val="en-US" w:eastAsia="zh-CN"/>
        </w:rPr>
        <w:t xml:space="preserve">(without suffix) starting from the leading / leftmost bit indicate 50, 100 and 200MHz. The third / rightmost bit (for 200MHz) shall be set to 1 </w:t>
      </w:r>
      <w:r>
        <w:rPr>
          <w:rFonts w:ascii="Times New Roman" w:hAnsi="Times New Roman"/>
          <w:bCs/>
          <w:sz w:val="20"/>
          <w:lang w:val="en-US" w:eastAsia="zh-CN"/>
        </w:rPr>
        <w:t>”</w:t>
      </w:r>
      <w:r>
        <w:rPr>
          <w:rFonts w:hint="eastAsia" w:ascii="Times New Roman" w:hAnsi="Times New Roman"/>
          <w:bCs/>
          <w:sz w:val="20"/>
          <w:lang w:val="en-US" w:eastAsia="zh-CN"/>
        </w:rPr>
        <w:t>. In our understanding, 200MHz is mandatory in FR2. With the purpose of pursuing high-speed rate, 200MHz is more meaningful.</w:t>
      </w:r>
    </w:p>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
          <w:kern w:val="0"/>
          <w:sz w:val="20"/>
          <w:szCs w:val="20"/>
        </w:rPr>
        <w:t>Proposal 2: To support option2, i.e., 200MHz CBW.</w:t>
      </w:r>
    </w:p>
    <w:p>
      <w:pPr>
        <w:pStyle w:val="29"/>
        <w:suppressAutoHyphens/>
        <w:spacing w:after="80" w:line="260" w:lineRule="auto"/>
        <w:ind w:firstLine="0" w:firstLineChars="0"/>
        <w:rPr>
          <w:rFonts w:ascii="Times New Roman" w:hAnsi="Times New Roman"/>
          <w:bCs/>
          <w:kern w:val="0"/>
          <w:szCs w:val="21"/>
        </w:rPr>
      </w:pPr>
    </w:p>
    <w:p>
      <w:pPr>
        <w:pStyle w:val="29"/>
        <w:suppressAutoHyphens/>
        <w:spacing w:after="80" w:line="260" w:lineRule="auto"/>
        <w:ind w:firstLine="0" w:firstLineChars="0"/>
        <w:rPr>
          <w:rFonts w:ascii="Times New Roman" w:hAnsi="Times New Roman"/>
          <w:bCs/>
          <w:kern w:val="0"/>
          <w:szCs w:val="21"/>
        </w:rPr>
      </w:pPr>
    </w:p>
    <w:p>
      <w:pPr>
        <w:pStyle w:val="29"/>
        <w:suppressAutoHyphens/>
        <w:spacing w:after="80" w:line="260" w:lineRule="auto"/>
        <w:ind w:firstLine="0" w:firstLineChars="0"/>
        <w:rPr>
          <w:rFonts w:ascii="Times New Roman" w:hAnsi="Times New Roman"/>
          <w:bCs/>
          <w:kern w:val="0"/>
          <w:szCs w:val="21"/>
        </w:rPr>
      </w:pPr>
    </w:p>
    <w:p>
      <w:pPr>
        <w:pStyle w:val="29"/>
        <w:suppressAutoHyphens/>
        <w:spacing w:after="80" w:line="260" w:lineRule="auto"/>
        <w:ind w:firstLine="0" w:firstLineChars="0"/>
        <w:rPr>
          <w:rFonts w:ascii="Times New Roman" w:hAnsi="Times New Roman"/>
          <w:bCs/>
          <w:kern w:val="0"/>
          <w:szCs w:val="21"/>
        </w:rPr>
      </w:pP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 w:val="21"/>
          <w:szCs w:val="21"/>
          <w:lang w:eastAsia="zh-CN"/>
        </w:rPr>
      </w:pPr>
      <w:r>
        <w:rPr>
          <w:rFonts w:hint="eastAsia" w:eastAsia="宋体"/>
          <w:bCs/>
          <w:sz w:val="21"/>
          <w:szCs w:val="21"/>
          <w:lang w:eastAsia="zh-CN"/>
        </w:rPr>
        <w:t>Based on the analysis, the following proposals are given:</w:t>
      </w:r>
    </w:p>
    <w:p>
      <w:pPr>
        <w:pStyle w:val="29"/>
        <w:suppressAutoHyphens/>
        <w:adjustRightInd w:val="0"/>
        <w:snapToGrid w:val="0"/>
        <w:spacing w:after="0" w:line="240" w:lineRule="auto"/>
        <w:ind w:firstLine="0" w:firstLineChars="0"/>
        <w:rPr>
          <w:rFonts w:ascii="Times New Roman" w:hAnsi="Times New Roman"/>
          <w:b/>
          <w:kern w:val="0"/>
          <w:sz w:val="20"/>
          <w:szCs w:val="20"/>
        </w:rPr>
      </w:pPr>
      <w:r>
        <w:rPr>
          <w:rFonts w:hint="eastAsia" w:ascii="Times New Roman" w:hAnsi="Times New Roman"/>
          <w:b/>
          <w:kern w:val="0"/>
          <w:sz w:val="20"/>
          <w:szCs w:val="20"/>
        </w:rPr>
        <w:t>Proposal 1: To add a new option e.g., option 3 for DPS transmission scheme:</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1a for scenario-A uni-directional deployment.</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Wait for the result of discussion on RRM and Scenario session to see if bi-directional deployment for scenario-A is supported.</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1a for scenario-B uni-directional deployment if the number of beam is one beam per panel per RRH and if the beams from different RRH corresponding to the same TCI.</w:t>
      </w:r>
    </w:p>
    <w:p>
      <w:pPr>
        <w:pStyle w:val="29"/>
        <w:numPr>
          <w:ilvl w:val="0"/>
          <w:numId w:val="8"/>
        </w:numPr>
        <w:suppressAutoHyphens/>
        <w:adjustRightInd w:val="0"/>
        <w:snapToGrid w:val="0"/>
        <w:spacing w:after="0" w:line="240" w:lineRule="auto"/>
        <w:ind w:firstLineChars="0"/>
        <w:rPr>
          <w:rFonts w:ascii="Times New Roman" w:hAnsi="Times New Roman"/>
          <w:b/>
          <w:kern w:val="0"/>
          <w:sz w:val="20"/>
          <w:szCs w:val="20"/>
        </w:rPr>
      </w:pPr>
      <w:r>
        <w:rPr>
          <w:rFonts w:hint="eastAsia" w:ascii="Times New Roman" w:hAnsi="Times New Roman"/>
          <w:b/>
          <w:kern w:val="0"/>
          <w:sz w:val="20"/>
          <w:szCs w:val="20"/>
        </w:rPr>
        <w:t>Define PDSCH requirement with DPS scheme 1b for scenario-B uni-directional deployment if the number of beam is 2 or more beams per panel per RRH.</w:t>
      </w:r>
    </w:p>
    <w:p>
      <w:pPr>
        <w:pStyle w:val="29"/>
        <w:suppressAutoHyphens/>
        <w:spacing w:after="80" w:line="260" w:lineRule="auto"/>
        <w:ind w:firstLine="0" w:firstLineChars="0"/>
        <w:rPr>
          <w:rFonts w:ascii="Times New Roman" w:hAnsi="Times New Roman"/>
          <w:bCs/>
          <w:kern w:val="0"/>
          <w:sz w:val="20"/>
          <w:szCs w:val="20"/>
        </w:rPr>
      </w:pPr>
      <w:r>
        <w:rPr>
          <w:rFonts w:hint="eastAsia" w:ascii="Times New Roman" w:hAnsi="Times New Roman"/>
          <w:b/>
          <w:kern w:val="0"/>
          <w:sz w:val="20"/>
          <w:szCs w:val="20"/>
        </w:rPr>
        <w:t>Proposal 2: To support option2, i.e., 200MHz CBW.</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pPr>
      <w:r>
        <w:rPr>
          <w:rFonts w:hint="eastAsia"/>
          <w:lang w:val="en-US"/>
        </w:rPr>
        <w:t>R4-2108637 WF for FR2 HST Demodulation</w:t>
      </w:r>
    </w:p>
    <w:p>
      <w:pPr>
        <w:pStyle w:val="9"/>
      </w:pPr>
      <w:r>
        <w:rPr>
          <w:rFonts w:hint="eastAsia"/>
        </w:rPr>
        <w:t>R4-2113196 General discussion on demodulation requirements</w:t>
      </w:r>
    </w:p>
    <w:p>
      <w:pPr>
        <w:pStyle w:val="9"/>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BatangChe">
    <w:panose1 w:val="0203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CB24E3"/>
    <w:multiLevelType w:val="singleLevel"/>
    <w:tmpl w:val="B7CB24E3"/>
    <w:lvl w:ilvl="0" w:tentative="0">
      <w:start w:val="1"/>
      <w:numFmt w:val="bullet"/>
      <w:lvlText w:val="·"/>
      <w:lvlJc w:val="left"/>
      <w:pPr>
        <w:tabs>
          <w:tab w:val="left" w:pos="420"/>
        </w:tabs>
        <w:ind w:left="840" w:hanging="420"/>
      </w:pPr>
      <w:rPr>
        <w:rFonts w:hint="default" w:ascii="宋体" w:hAnsi="宋体" w:eastAsia="宋体" w:cs="宋体"/>
      </w:rPr>
    </w:lvl>
  </w:abstractNum>
  <w:abstractNum w:abstractNumId="1">
    <w:nsid w:val="CA47A3F9"/>
    <w:multiLevelType w:val="multilevel"/>
    <w:tmpl w:val="CA47A3F9"/>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PMingLiU" w:hAnsi="PMingLiU"/>
      </w:rPr>
    </w:lvl>
    <w:lvl w:ilvl="2" w:tentative="0">
      <w:start w:val="1"/>
      <w:numFmt w:val="bullet"/>
      <w:lvlText w:val=""/>
      <w:lvlJc w:val="left"/>
      <w:pPr>
        <w:tabs>
          <w:tab w:val="left" w:pos="1260"/>
        </w:tabs>
        <w:ind w:left="1260" w:hanging="420"/>
      </w:pPr>
      <w:rPr>
        <w:rFonts w:hint="default" w:ascii="PMingLiU" w:hAnsi="PMingLiU"/>
      </w:rPr>
    </w:lvl>
    <w:lvl w:ilvl="3" w:tentative="0">
      <w:start w:val="1"/>
      <w:numFmt w:val="bullet"/>
      <w:lvlText w:val=""/>
      <w:lvlJc w:val="left"/>
      <w:pPr>
        <w:tabs>
          <w:tab w:val="left" w:pos="1680"/>
        </w:tabs>
        <w:ind w:left="1680" w:hanging="420"/>
      </w:pPr>
      <w:rPr>
        <w:rFonts w:hint="default" w:ascii="PMingLiU" w:hAnsi="PMingLiU"/>
      </w:rPr>
    </w:lvl>
    <w:lvl w:ilvl="4" w:tentative="0">
      <w:start w:val="1"/>
      <w:numFmt w:val="bullet"/>
      <w:lvlText w:val=""/>
      <w:lvlJc w:val="left"/>
      <w:pPr>
        <w:tabs>
          <w:tab w:val="left" w:pos="2100"/>
        </w:tabs>
        <w:ind w:left="2100" w:hanging="420"/>
      </w:pPr>
      <w:rPr>
        <w:rFonts w:hint="default" w:ascii="PMingLiU" w:hAnsi="PMingLiU"/>
      </w:rPr>
    </w:lvl>
    <w:lvl w:ilvl="5" w:tentative="0">
      <w:start w:val="1"/>
      <w:numFmt w:val="bullet"/>
      <w:lvlText w:val=""/>
      <w:lvlJc w:val="left"/>
      <w:pPr>
        <w:tabs>
          <w:tab w:val="left" w:pos="2520"/>
        </w:tabs>
        <w:ind w:left="2520" w:hanging="420"/>
      </w:pPr>
      <w:rPr>
        <w:rFonts w:hint="default" w:ascii="PMingLiU" w:hAnsi="PMingLiU"/>
      </w:rPr>
    </w:lvl>
    <w:lvl w:ilvl="6" w:tentative="0">
      <w:start w:val="1"/>
      <w:numFmt w:val="bullet"/>
      <w:lvlText w:val=""/>
      <w:lvlJc w:val="left"/>
      <w:pPr>
        <w:tabs>
          <w:tab w:val="left" w:pos="2940"/>
        </w:tabs>
        <w:ind w:left="2940" w:hanging="420"/>
      </w:pPr>
      <w:rPr>
        <w:rFonts w:hint="default" w:ascii="PMingLiU" w:hAnsi="PMingLiU"/>
      </w:rPr>
    </w:lvl>
    <w:lvl w:ilvl="7" w:tentative="0">
      <w:start w:val="1"/>
      <w:numFmt w:val="bullet"/>
      <w:lvlText w:val=""/>
      <w:lvlJc w:val="left"/>
      <w:pPr>
        <w:tabs>
          <w:tab w:val="left" w:pos="3360"/>
        </w:tabs>
        <w:ind w:left="3360" w:hanging="420"/>
      </w:pPr>
      <w:rPr>
        <w:rFonts w:hint="default" w:ascii="PMingLiU" w:hAnsi="PMingLiU"/>
      </w:rPr>
    </w:lvl>
    <w:lvl w:ilvl="8" w:tentative="0">
      <w:start w:val="1"/>
      <w:numFmt w:val="bullet"/>
      <w:lvlText w:val=""/>
      <w:lvlJc w:val="left"/>
      <w:pPr>
        <w:tabs>
          <w:tab w:val="left" w:pos="3780"/>
        </w:tabs>
        <w:ind w:left="3780" w:hanging="420"/>
      </w:pPr>
      <w:rPr>
        <w:rFonts w:hint="default" w:ascii="PMingLiU" w:hAnsi="PMingLiU"/>
      </w:rPr>
    </w:lvl>
  </w:abstractNum>
  <w:abstractNum w:abstractNumId="2">
    <w:nsid w:val="EAC1F30F"/>
    <w:multiLevelType w:val="singleLevel"/>
    <w:tmpl w:val="EAC1F30F"/>
    <w:lvl w:ilvl="0" w:tentative="0">
      <w:start w:val="1"/>
      <w:numFmt w:val="bullet"/>
      <w:lvlText w:val="·"/>
      <w:lvlJc w:val="left"/>
      <w:pPr>
        <w:tabs>
          <w:tab w:val="left" w:pos="420"/>
        </w:tabs>
        <w:ind w:left="840" w:hanging="420"/>
      </w:pPr>
      <w:rPr>
        <w:rFonts w:hint="default" w:ascii="宋体" w:hAnsi="宋体" w:eastAsia="宋体" w:cs="宋体"/>
      </w:rPr>
    </w:lvl>
  </w:abstractNum>
  <w:abstractNum w:abstractNumId="3">
    <w:nsid w:val="F555371E"/>
    <w:multiLevelType w:val="singleLevel"/>
    <w:tmpl w:val="F555371E"/>
    <w:lvl w:ilvl="0" w:tentative="0">
      <w:start w:val="1"/>
      <w:numFmt w:val="bullet"/>
      <w:lvlText w:val="-"/>
      <w:lvlJc w:val="left"/>
      <w:pPr>
        <w:ind w:left="420" w:hanging="420"/>
      </w:pPr>
      <w:rPr>
        <w:rFonts w:hint="default" w:ascii="BatangChe" w:hAnsi="BatangChe" w:eastAsia="BatangChe" w:cs="BatangChe"/>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8B5243"/>
    <w:multiLevelType w:val="multilevel"/>
    <w:tmpl w:val="2E8B5243"/>
    <w:lvl w:ilvl="0" w:tentative="0">
      <w:start w:val="1"/>
      <w:numFmt w:val="bullet"/>
      <w:lvlText w:val="-"/>
      <w:lvlJc w:val="left"/>
      <w:pPr>
        <w:ind w:left="840" w:hanging="420"/>
      </w:pPr>
      <w:rPr>
        <w:rFonts w:hint="default" w:ascii="BatangChe" w:hAnsi="BatangChe" w:eastAsia="BatangChe" w:cs="BatangChe"/>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6"/>
  </w:num>
  <w:num w:numId="3">
    <w:abstractNumId w:val="4"/>
  </w:num>
  <w:num w:numId="4">
    <w:abstractNumId w:val="1"/>
  </w:num>
  <w:num w:numId="5">
    <w:abstractNumId w:val="3"/>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197B"/>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4D96"/>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2BC8"/>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80D"/>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07B1F"/>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5CFF"/>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1558"/>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1E1D3D"/>
    <w:rsid w:val="012F50B4"/>
    <w:rsid w:val="018B3BAA"/>
    <w:rsid w:val="02065A2E"/>
    <w:rsid w:val="02626E3D"/>
    <w:rsid w:val="0298367A"/>
    <w:rsid w:val="02D254EC"/>
    <w:rsid w:val="02FE5F82"/>
    <w:rsid w:val="032D5AEE"/>
    <w:rsid w:val="03AB67DC"/>
    <w:rsid w:val="043D2559"/>
    <w:rsid w:val="0478015E"/>
    <w:rsid w:val="05510DD1"/>
    <w:rsid w:val="062A620F"/>
    <w:rsid w:val="064B00B0"/>
    <w:rsid w:val="06654A0B"/>
    <w:rsid w:val="06823D8F"/>
    <w:rsid w:val="07622262"/>
    <w:rsid w:val="07905D4F"/>
    <w:rsid w:val="07CD3CDD"/>
    <w:rsid w:val="09674661"/>
    <w:rsid w:val="097E672F"/>
    <w:rsid w:val="09825F02"/>
    <w:rsid w:val="09AB6C45"/>
    <w:rsid w:val="0A731B50"/>
    <w:rsid w:val="0A7D607C"/>
    <w:rsid w:val="0B802D0D"/>
    <w:rsid w:val="0BF41031"/>
    <w:rsid w:val="0C953742"/>
    <w:rsid w:val="0D744565"/>
    <w:rsid w:val="0D7F564D"/>
    <w:rsid w:val="0D835665"/>
    <w:rsid w:val="0DE052FE"/>
    <w:rsid w:val="0E3330D0"/>
    <w:rsid w:val="0E8E32FA"/>
    <w:rsid w:val="0E941E12"/>
    <w:rsid w:val="0F11785B"/>
    <w:rsid w:val="0F372967"/>
    <w:rsid w:val="0F3C7751"/>
    <w:rsid w:val="0F726903"/>
    <w:rsid w:val="0FDA7DDA"/>
    <w:rsid w:val="107A2E2E"/>
    <w:rsid w:val="120639A8"/>
    <w:rsid w:val="121C451F"/>
    <w:rsid w:val="125D4125"/>
    <w:rsid w:val="13583391"/>
    <w:rsid w:val="137F4008"/>
    <w:rsid w:val="13F672DD"/>
    <w:rsid w:val="144E5CD4"/>
    <w:rsid w:val="15E12A88"/>
    <w:rsid w:val="15E95672"/>
    <w:rsid w:val="16271D63"/>
    <w:rsid w:val="16BD2FB9"/>
    <w:rsid w:val="16E7731D"/>
    <w:rsid w:val="19607D81"/>
    <w:rsid w:val="1AA54D0B"/>
    <w:rsid w:val="1C3672FA"/>
    <w:rsid w:val="1D186F9D"/>
    <w:rsid w:val="1D310AB0"/>
    <w:rsid w:val="1DA251E1"/>
    <w:rsid w:val="1DA93704"/>
    <w:rsid w:val="1DF51F66"/>
    <w:rsid w:val="1EA028D9"/>
    <w:rsid w:val="1F4325C8"/>
    <w:rsid w:val="1F595BBB"/>
    <w:rsid w:val="1F7C7957"/>
    <w:rsid w:val="1FD21E35"/>
    <w:rsid w:val="1FE10390"/>
    <w:rsid w:val="1FEE7A9C"/>
    <w:rsid w:val="205164A7"/>
    <w:rsid w:val="216D7544"/>
    <w:rsid w:val="21B80AA5"/>
    <w:rsid w:val="225216B5"/>
    <w:rsid w:val="22B37446"/>
    <w:rsid w:val="235408E6"/>
    <w:rsid w:val="24715F69"/>
    <w:rsid w:val="24B140D4"/>
    <w:rsid w:val="24F907DC"/>
    <w:rsid w:val="25EF43C8"/>
    <w:rsid w:val="262E08BF"/>
    <w:rsid w:val="263951B2"/>
    <w:rsid w:val="263E55AD"/>
    <w:rsid w:val="26631717"/>
    <w:rsid w:val="28A96A0F"/>
    <w:rsid w:val="28EE7A07"/>
    <w:rsid w:val="29224AE0"/>
    <w:rsid w:val="2AB04251"/>
    <w:rsid w:val="2AEC42E5"/>
    <w:rsid w:val="2B034D47"/>
    <w:rsid w:val="2B6F681F"/>
    <w:rsid w:val="2B893BA3"/>
    <w:rsid w:val="2BC82480"/>
    <w:rsid w:val="2C1A5D63"/>
    <w:rsid w:val="2CA73FE3"/>
    <w:rsid w:val="2CE15438"/>
    <w:rsid w:val="2D812190"/>
    <w:rsid w:val="2DA94150"/>
    <w:rsid w:val="2E1176AC"/>
    <w:rsid w:val="2ECB7AE0"/>
    <w:rsid w:val="2F0E5D72"/>
    <w:rsid w:val="2F322289"/>
    <w:rsid w:val="30571C73"/>
    <w:rsid w:val="316C26E3"/>
    <w:rsid w:val="328D4D87"/>
    <w:rsid w:val="33021368"/>
    <w:rsid w:val="33491F36"/>
    <w:rsid w:val="33883009"/>
    <w:rsid w:val="33D438B1"/>
    <w:rsid w:val="34EA3595"/>
    <w:rsid w:val="34F31159"/>
    <w:rsid w:val="357D1552"/>
    <w:rsid w:val="35D34EB8"/>
    <w:rsid w:val="36950F43"/>
    <w:rsid w:val="393853EE"/>
    <w:rsid w:val="39A12E64"/>
    <w:rsid w:val="39E551C2"/>
    <w:rsid w:val="3A985F9F"/>
    <w:rsid w:val="3ACA79CB"/>
    <w:rsid w:val="3B1D04C9"/>
    <w:rsid w:val="3B924465"/>
    <w:rsid w:val="3C8B2EA4"/>
    <w:rsid w:val="3CC85F33"/>
    <w:rsid w:val="3D454AA3"/>
    <w:rsid w:val="3D6F2596"/>
    <w:rsid w:val="3E3D115C"/>
    <w:rsid w:val="3EBA3F51"/>
    <w:rsid w:val="3ED90D52"/>
    <w:rsid w:val="3EFB0DA2"/>
    <w:rsid w:val="3F4371E9"/>
    <w:rsid w:val="3F5B25E2"/>
    <w:rsid w:val="3FBE5D52"/>
    <w:rsid w:val="403917EB"/>
    <w:rsid w:val="404F7A6B"/>
    <w:rsid w:val="40705D5D"/>
    <w:rsid w:val="40C765F3"/>
    <w:rsid w:val="41256FB7"/>
    <w:rsid w:val="413C2D7C"/>
    <w:rsid w:val="42DE6859"/>
    <w:rsid w:val="43776349"/>
    <w:rsid w:val="44605667"/>
    <w:rsid w:val="44B2766E"/>
    <w:rsid w:val="458F4D24"/>
    <w:rsid w:val="45F60A50"/>
    <w:rsid w:val="48463DD8"/>
    <w:rsid w:val="4853345A"/>
    <w:rsid w:val="490D3059"/>
    <w:rsid w:val="49500FEB"/>
    <w:rsid w:val="496329E5"/>
    <w:rsid w:val="49F32E1B"/>
    <w:rsid w:val="4A0B7057"/>
    <w:rsid w:val="4A1D0A1C"/>
    <w:rsid w:val="4A280667"/>
    <w:rsid w:val="4A511B6E"/>
    <w:rsid w:val="4A7C4548"/>
    <w:rsid w:val="4B901389"/>
    <w:rsid w:val="4CBF03D6"/>
    <w:rsid w:val="4D513299"/>
    <w:rsid w:val="4DA22392"/>
    <w:rsid w:val="4E9A7FF9"/>
    <w:rsid w:val="4EDF702E"/>
    <w:rsid w:val="4F047884"/>
    <w:rsid w:val="4F813AF7"/>
    <w:rsid w:val="4FBD6EC5"/>
    <w:rsid w:val="4FBF1AB2"/>
    <w:rsid w:val="504E5AC6"/>
    <w:rsid w:val="505076EF"/>
    <w:rsid w:val="513C5648"/>
    <w:rsid w:val="51B14BED"/>
    <w:rsid w:val="51FA3D86"/>
    <w:rsid w:val="52022698"/>
    <w:rsid w:val="54175BE1"/>
    <w:rsid w:val="5445166E"/>
    <w:rsid w:val="54451A85"/>
    <w:rsid w:val="54632332"/>
    <w:rsid w:val="55436523"/>
    <w:rsid w:val="563C5184"/>
    <w:rsid w:val="565631F5"/>
    <w:rsid w:val="56C44CD3"/>
    <w:rsid w:val="56F54050"/>
    <w:rsid w:val="581B09AF"/>
    <w:rsid w:val="589F3533"/>
    <w:rsid w:val="593261D2"/>
    <w:rsid w:val="595A6E9E"/>
    <w:rsid w:val="5A8F1C82"/>
    <w:rsid w:val="5AA04D8D"/>
    <w:rsid w:val="5AFF5DE6"/>
    <w:rsid w:val="5B4026E8"/>
    <w:rsid w:val="5B482E24"/>
    <w:rsid w:val="5D5C7688"/>
    <w:rsid w:val="5E336F39"/>
    <w:rsid w:val="5E4C0B3C"/>
    <w:rsid w:val="605035BB"/>
    <w:rsid w:val="608E2F6C"/>
    <w:rsid w:val="61A2738B"/>
    <w:rsid w:val="61CA4F75"/>
    <w:rsid w:val="637947A5"/>
    <w:rsid w:val="63D0005D"/>
    <w:rsid w:val="64B7605C"/>
    <w:rsid w:val="652B096E"/>
    <w:rsid w:val="66E16576"/>
    <w:rsid w:val="66E33C2D"/>
    <w:rsid w:val="6782601A"/>
    <w:rsid w:val="68233C28"/>
    <w:rsid w:val="692A17F3"/>
    <w:rsid w:val="6A275B94"/>
    <w:rsid w:val="6A2E4954"/>
    <w:rsid w:val="6AC9421D"/>
    <w:rsid w:val="6AD94F47"/>
    <w:rsid w:val="6C641082"/>
    <w:rsid w:val="6CDA49A3"/>
    <w:rsid w:val="6CF36133"/>
    <w:rsid w:val="6D527975"/>
    <w:rsid w:val="6DD1076A"/>
    <w:rsid w:val="6DDE3DAF"/>
    <w:rsid w:val="6E1735DC"/>
    <w:rsid w:val="6F202513"/>
    <w:rsid w:val="6F56018E"/>
    <w:rsid w:val="70C90457"/>
    <w:rsid w:val="70E13200"/>
    <w:rsid w:val="715F4C2D"/>
    <w:rsid w:val="71A27884"/>
    <w:rsid w:val="71BA5711"/>
    <w:rsid w:val="724530CF"/>
    <w:rsid w:val="72CB7F46"/>
    <w:rsid w:val="73121CB7"/>
    <w:rsid w:val="736514C9"/>
    <w:rsid w:val="745C121D"/>
    <w:rsid w:val="755C4C37"/>
    <w:rsid w:val="761A2E8D"/>
    <w:rsid w:val="768D7CD7"/>
    <w:rsid w:val="776C25E5"/>
    <w:rsid w:val="77886D34"/>
    <w:rsid w:val="77B7237F"/>
    <w:rsid w:val="78271104"/>
    <w:rsid w:val="784B7472"/>
    <w:rsid w:val="78F24F03"/>
    <w:rsid w:val="792E6792"/>
    <w:rsid w:val="7962750F"/>
    <w:rsid w:val="796B0021"/>
    <w:rsid w:val="797218E2"/>
    <w:rsid w:val="7AB05BBC"/>
    <w:rsid w:val="7AB94AC3"/>
    <w:rsid w:val="7AE36910"/>
    <w:rsid w:val="7BF8597E"/>
    <w:rsid w:val="7C0C0D73"/>
    <w:rsid w:val="7C14711B"/>
    <w:rsid w:val="7C312516"/>
    <w:rsid w:val="7C45431D"/>
    <w:rsid w:val="7C4A144B"/>
    <w:rsid w:val="7C963B24"/>
    <w:rsid w:val="7D4C1C46"/>
    <w:rsid w:val="7DDD0501"/>
    <w:rsid w:val="7E2653BA"/>
    <w:rsid w:val="7E2B63E7"/>
    <w:rsid w:val="7E8B79FF"/>
    <w:rsid w:val="7E935AFB"/>
    <w:rsid w:val="7EC65AAB"/>
    <w:rsid w:val="7F082AC1"/>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666</Words>
  <Characters>3799</Characters>
  <Lines>31</Lines>
  <Paragraphs>8</Paragraphs>
  <TotalTime>7</TotalTime>
  <ScaleCrop>false</ScaleCrop>
  <LinksUpToDate>false</LinksUpToDate>
  <CharactersWithSpaces>4457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2021-08-06T13:34:37Z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